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before="0" w:after="0"/>
        <w:jc w:val="center"/>
        <w:rPr>
          <w:color w:val="000000"/>
          <w:u w:val="single"/>
        </w:rPr>
      </w:pPr>
      <w:r>
        <w:rPr>
          <w:rFonts w:cs="Calibri" w:ascii="Calibri" w:hAnsi="Calibri"/>
          <w:b/>
          <w:bCs/>
          <w:color w:val="000000"/>
          <w:sz w:val="24"/>
          <w:szCs w:val="24"/>
          <w:u w:val="single"/>
          <w:lang w:val="it-IT"/>
        </w:rPr>
        <w:t>Comunicato stampa 21-02-2025</w:t>
      </w:r>
    </w:p>
    <w:p>
      <w:pPr>
        <w:pStyle w:val="Normal"/>
        <w:spacing w:lineRule="auto" w:line="360" w:before="0" w:after="0"/>
        <w:jc w:val="center"/>
        <w:rPr>
          <w:color w:val="000000"/>
        </w:rPr>
      </w:pPr>
      <w:r>
        <w:rPr>
          <w:rFonts w:cs="Calibri" w:ascii="Calibri" w:hAnsi="Calibri"/>
          <w:b/>
          <w:bCs/>
          <w:color w:val="000000"/>
          <w:sz w:val="24"/>
          <w:szCs w:val="24"/>
          <w:lang w:val="it-IT"/>
        </w:rPr>
        <w:t>EX AZIONISTI CARIFE: IL TEMPO STRINGE PER IL DIRITTO AL RISARCIMENTO</w:t>
      </w:r>
    </w:p>
    <w:p>
      <w:pPr>
        <w:pStyle w:val="Normal"/>
        <w:spacing w:lineRule="auto" w:line="360"/>
        <w:jc w:val="center"/>
        <w:rPr>
          <w:color w:val="000000"/>
        </w:rPr>
      </w:pPr>
      <w:r>
        <w:rPr>
          <w:rFonts w:cs="Calibri" w:ascii="Calibri" w:hAnsi="Calibri"/>
          <w:b/>
          <w:bCs/>
          <w:color w:val="000000"/>
          <w:sz w:val="24"/>
          <w:szCs w:val="24"/>
          <w:lang w:val="it-IT"/>
        </w:rPr>
        <w:t xml:space="preserve">Lettera A/R </w:t>
      </w:r>
      <w:r>
        <w:rPr>
          <w:rFonts w:cs="Calibri" w:ascii="Calibri" w:hAnsi="Calibri"/>
          <w:b/>
          <w:bCs/>
          <w:color w:val="000000"/>
          <w:sz w:val="24"/>
          <w:szCs w:val="24"/>
          <w:lang w:val="it-IT"/>
        </w:rPr>
        <w:t xml:space="preserve">o PEC </w:t>
      </w:r>
      <w:r>
        <w:rPr>
          <w:rFonts w:cs="Calibri" w:ascii="Calibri" w:hAnsi="Calibri"/>
          <w:b/>
          <w:bCs/>
          <w:color w:val="000000"/>
          <w:sz w:val="24"/>
          <w:szCs w:val="24"/>
          <w:lang w:val="it-IT"/>
        </w:rPr>
        <w:t>entro il 2</w:t>
      </w:r>
      <w:r>
        <w:rPr>
          <w:rFonts w:cs="Calibri" w:ascii="Calibri" w:hAnsi="Calibri"/>
          <w:b/>
          <w:bCs/>
          <w:color w:val="000000"/>
          <w:sz w:val="24"/>
          <w:szCs w:val="24"/>
          <w:lang w:val="it-IT"/>
        </w:rPr>
        <w:t>2</w:t>
      </w:r>
      <w:r>
        <w:rPr>
          <w:rFonts w:cs="Calibri" w:ascii="Calibri" w:hAnsi="Calibri"/>
          <w:b/>
          <w:bCs/>
          <w:color w:val="000000"/>
          <w:sz w:val="24"/>
          <w:szCs w:val="24"/>
          <w:lang w:val="it-IT"/>
        </w:rPr>
        <w:t xml:space="preserve"> novembre 2025 per interrompere la prescrizione </w:t>
      </w:r>
    </w:p>
    <w:p>
      <w:pPr>
        <w:pStyle w:val="Normal"/>
        <w:spacing w:lineRule="auto" w:line="276" w:before="0" w:after="0"/>
        <w:jc w:val="center"/>
        <w:rPr>
          <w:color w:val="000000"/>
        </w:rPr>
      </w:pPr>
      <w:r>
        <w:rPr>
          <w:rFonts w:cs="Calibri" w:ascii="Calibri" w:hAnsi="Calibri"/>
          <w:i/>
          <w:iCs/>
          <w:color w:val="000000"/>
          <w:lang w:val="it-IT"/>
        </w:rPr>
        <w:t>Banca Popolare dell’Emilia-Romagna può risarcire i risparmiatori Carife</w:t>
      </w:r>
    </w:p>
    <w:p>
      <w:pPr>
        <w:pStyle w:val="Normal"/>
        <w:spacing w:lineRule="auto" w:line="276"/>
        <w:jc w:val="center"/>
        <w:rPr>
          <w:color w:val="000000"/>
        </w:rPr>
      </w:pPr>
      <w:r>
        <w:rPr>
          <w:rFonts w:cs="Calibri" w:ascii="Calibri" w:hAnsi="Calibri"/>
          <w:i/>
          <w:iCs/>
          <w:color w:val="000000"/>
          <w:lang w:val="it-IT"/>
        </w:rPr>
        <w:t xml:space="preserve">Banca d’Italia tutela BPER con </w:t>
      </w:r>
      <w:r>
        <w:rPr>
          <w:rFonts w:cs="Calibri" w:ascii="Calibri" w:hAnsi="Calibri"/>
          <w:i/>
          <w:iCs/>
          <w:color w:val="000000"/>
          <w:lang w:val="it-IT"/>
        </w:rPr>
        <w:t xml:space="preserve">un fondo di </w:t>
      </w:r>
      <w:r>
        <w:rPr>
          <w:rFonts w:cs="Calibri" w:ascii="Calibri" w:hAnsi="Calibri"/>
          <w:i/>
          <w:iCs/>
          <w:color w:val="000000"/>
          <w:lang w:val="it-IT"/>
        </w:rPr>
        <w:t xml:space="preserve">150 milioni di euro </w:t>
      </w:r>
      <w:r>
        <w:rPr>
          <w:rFonts w:cs="Calibri" w:ascii="Calibri" w:hAnsi="Calibri"/>
          <w:i/>
          <w:iCs/>
          <w:color w:val="000000"/>
          <w:lang w:val="it-IT"/>
        </w:rPr>
        <w:t xml:space="preserve">a garanzia dei </w:t>
      </w:r>
      <w:r>
        <w:rPr>
          <w:rFonts w:cs="Calibri" w:ascii="Calibri" w:hAnsi="Calibri"/>
          <w:i/>
          <w:iCs/>
          <w:strike/>
          <w:color w:val="000000"/>
          <w:lang w:val="it-IT"/>
        </w:rPr>
        <w:t xml:space="preserve">per </w:t>
      </w:r>
      <w:r>
        <w:rPr>
          <w:rFonts w:cs="Calibri" w:ascii="Calibri" w:hAnsi="Calibri"/>
          <w:i/>
          <w:iCs/>
          <w:color w:val="000000"/>
          <w:lang w:val="it-IT"/>
        </w:rPr>
        <w:t xml:space="preserve">“contenziosi con </w:t>
      </w:r>
      <w:bookmarkStart w:id="0" w:name="_Hlk190596525"/>
      <w:r>
        <w:rPr>
          <w:rFonts w:cs="Calibri" w:ascii="Calibri" w:hAnsi="Calibri"/>
          <w:i/>
          <w:iCs/>
          <w:color w:val="000000"/>
          <w:lang w:val="it-IT"/>
        </w:rPr>
        <w:t>ex azionisti e obbligazionisti subordinati</w:t>
      </w:r>
      <w:bookmarkEnd w:id="0"/>
      <w:r>
        <w:rPr>
          <w:rFonts w:cs="Calibri" w:ascii="Calibri" w:hAnsi="Calibri"/>
          <w:i/>
          <w:iCs/>
          <w:color w:val="000000"/>
          <w:lang w:val="it-IT"/>
        </w:rPr>
        <w:t>”</w:t>
      </w:r>
    </w:p>
    <w:p>
      <w:pPr>
        <w:pStyle w:val="Normal"/>
        <w:spacing w:lineRule="auto" w:line="360" w:before="240" w:after="0"/>
        <w:jc w:val="both"/>
        <w:rPr>
          <w:color w:val="000000"/>
        </w:rPr>
      </w:pPr>
      <w:r>
        <w:rPr>
          <w:rFonts w:cs="Calibri" w:ascii="Calibri" w:hAnsi="Calibri"/>
          <w:color w:val="000000"/>
          <w:sz w:val="16"/>
          <w:szCs w:val="16"/>
          <w:lang w:val="it-IT"/>
        </w:rPr>
        <w:t>Ferrara, 21/02/2025.</w:t>
      </w:r>
      <w:r>
        <w:rPr>
          <w:rFonts w:cs="Calibri" w:ascii="Calibri" w:hAnsi="Calibri"/>
          <w:color w:val="000000"/>
          <w:sz w:val="24"/>
          <w:szCs w:val="24"/>
          <w:lang w:val="it-IT"/>
        </w:rPr>
        <w:t xml:space="preserve">  </w:t>
      </w:r>
      <w:r>
        <w:rPr>
          <w:rFonts w:cs="Calibri" w:ascii="Calibri" w:hAnsi="Calibri"/>
          <w:color w:val="000000"/>
          <w:sz w:val="20"/>
          <w:szCs w:val="20"/>
          <w:lang w:val="it-IT"/>
        </w:rPr>
        <w:t xml:space="preserve">La Cassa di Risparmio di Ferrara è una delle quattro banche che </w:t>
      </w:r>
      <w:r>
        <w:rPr>
          <w:rFonts w:cs="Calibri" w:ascii="Calibri" w:hAnsi="Calibri"/>
          <w:color w:val="000000"/>
          <w:sz w:val="20"/>
          <w:szCs w:val="20"/>
          <w:lang w:val="it-IT"/>
        </w:rPr>
        <w:t xml:space="preserve">il 22 novembre </w:t>
      </w:r>
      <w:r>
        <w:rPr>
          <w:rFonts w:cs="Calibri" w:ascii="Calibri" w:hAnsi="Calibri"/>
          <w:color w:val="000000"/>
          <w:sz w:val="20"/>
          <w:szCs w:val="20"/>
          <w:lang w:val="it-IT"/>
        </w:rPr>
        <w:t xml:space="preserve">2015 sono state risolte con la conseguenza che le azioni di migliaia di risparmiatori sono state azzerate. Oggi, alla Cassa di Risparmio di Ferrara, dopo la costituzione da Banca d’Italia della “banca ponte” Nuova Carife, è subentrata la Banca Popolare Emilia-Romagna. </w:t>
      </w:r>
    </w:p>
    <w:p>
      <w:pPr>
        <w:pStyle w:val="Normal"/>
        <w:spacing w:lineRule="auto" w:line="360" w:before="0" w:after="0"/>
        <w:jc w:val="both"/>
        <w:rPr>
          <w:color w:val="000000"/>
        </w:rPr>
      </w:pPr>
      <w:r>
        <w:rPr>
          <w:rFonts w:cs="Calibri" w:ascii="Calibri" w:hAnsi="Calibri"/>
          <w:color w:val="000000"/>
          <w:sz w:val="20"/>
          <w:szCs w:val="20"/>
          <w:lang w:val="it-IT"/>
        </w:rPr>
        <w:t xml:space="preserve">Venerdì 21 febbraio 2025 nella Sala Arazzi del Comune di Ferrara, l’Avv. Prof. Massimo Cerniglia e l’Avv. </w:t>
      </w:r>
      <w:r>
        <w:rPr>
          <w:rFonts w:cs="Calibri" w:ascii="Calibri" w:hAnsi="Calibri"/>
          <w:color w:val="000000"/>
          <w:sz w:val="20"/>
          <w:szCs w:val="20"/>
          <w:lang w:val="it-IT"/>
        </w:rPr>
        <w:t xml:space="preserve">Alessandro </w:t>
      </w:r>
      <w:r>
        <w:rPr>
          <w:rFonts w:cs="Calibri" w:ascii="Calibri" w:hAnsi="Calibri"/>
          <w:color w:val="000000"/>
          <w:sz w:val="20"/>
          <w:szCs w:val="20"/>
          <w:lang w:val="it-IT"/>
        </w:rPr>
        <w:t xml:space="preserve">Caponi, invitati dalle associazioni di cittadinanza attiva e rappresentanza Movimento Risparmiatori Traditi, Associazione Italiana Coltivatori, Comitato Diritti Violati e Ferrara Civica, che si battono per i cittadini socialmente svantaggiati, in collaborazione con l’associazione no-profit Robin dell’Alto Adige, </w:t>
      </w:r>
      <w:r>
        <w:rPr>
          <w:rFonts w:cs="Calibri" w:ascii="Calibri" w:hAnsi="Calibri"/>
          <w:color w:val="000000"/>
          <w:sz w:val="20"/>
          <w:szCs w:val="20"/>
          <w:lang w:val="it-IT"/>
        </w:rPr>
        <w:t>da anni in prima linea nelle battaglie per gli azionisti delle banche che hanno perso i propri risparmi,</w:t>
      </w:r>
      <w:r>
        <w:rPr>
          <w:rFonts w:cs="Calibri" w:ascii="Calibri" w:hAnsi="Calibri"/>
          <w:color w:val="000000"/>
          <w:sz w:val="20"/>
          <w:szCs w:val="20"/>
          <w:lang w:val="it-IT"/>
        </w:rPr>
        <w:t xml:space="preserve"> rispondendo alle domande dei cittadini-risparmiatori e della stampa hanno illustrato la situazione e l’evoluzione della giurisprudenza a </w:t>
      </w:r>
      <w:r>
        <w:rPr>
          <w:rFonts w:cs="Calibri" w:ascii="Calibri" w:hAnsi="Calibri"/>
          <w:color w:val="000000"/>
          <w:sz w:val="20"/>
          <w:szCs w:val="20"/>
          <w:lang w:val="it-IT"/>
        </w:rPr>
        <w:t>quasi</w:t>
      </w:r>
      <w:r>
        <w:rPr>
          <w:rFonts w:cs="Calibri" w:ascii="Calibri" w:hAnsi="Calibri"/>
          <w:color w:val="000000"/>
          <w:sz w:val="20"/>
          <w:szCs w:val="20"/>
          <w:lang w:val="it-IT"/>
        </w:rPr>
        <w:t xml:space="preserve"> dieci anni dai fatti e le possibilità per gli ex azionisti e obbligazionisti subordinati Carife di esercitare </w:t>
      </w:r>
      <w:r>
        <w:rPr>
          <w:rFonts w:cs="Calibri" w:ascii="Calibri" w:hAnsi="Calibri"/>
          <w:color w:val="000000"/>
          <w:sz w:val="20"/>
          <w:szCs w:val="20"/>
          <w:lang w:val="it-IT"/>
        </w:rPr>
        <w:t xml:space="preserve">il </w:t>
      </w:r>
      <w:r>
        <w:rPr>
          <w:rFonts w:cs="Calibri" w:ascii="Calibri" w:hAnsi="Calibri"/>
          <w:color w:val="000000"/>
          <w:sz w:val="20"/>
          <w:szCs w:val="20"/>
          <w:lang w:val="it-IT"/>
        </w:rPr>
        <w:t xml:space="preserve">diritto </w:t>
      </w:r>
      <w:r>
        <w:rPr>
          <w:rFonts w:cs="Calibri" w:ascii="Calibri" w:hAnsi="Calibri"/>
          <w:color w:val="000000"/>
          <w:sz w:val="20"/>
          <w:szCs w:val="20"/>
          <w:lang w:val="it-IT"/>
        </w:rPr>
        <w:t>all’</w:t>
      </w:r>
      <w:r>
        <w:rPr>
          <w:rFonts w:cs="Calibri" w:ascii="Calibri" w:hAnsi="Calibri"/>
          <w:color w:val="000000"/>
          <w:sz w:val="20"/>
          <w:szCs w:val="20"/>
          <w:lang w:val="it-IT"/>
        </w:rPr>
        <w:t xml:space="preserve">interruzione </w:t>
      </w:r>
      <w:r>
        <w:rPr>
          <w:rFonts w:cs="Calibri" w:ascii="Calibri" w:hAnsi="Calibri"/>
          <w:color w:val="000000"/>
          <w:sz w:val="20"/>
          <w:szCs w:val="20"/>
          <w:lang w:val="it-IT"/>
        </w:rPr>
        <w:t xml:space="preserve">della </w:t>
      </w:r>
      <w:r>
        <w:rPr>
          <w:rFonts w:cs="Calibri" w:ascii="Calibri" w:hAnsi="Calibri"/>
          <w:color w:val="000000"/>
          <w:sz w:val="20"/>
          <w:szCs w:val="20"/>
          <w:lang w:val="it-IT"/>
        </w:rPr>
        <w:t>prescrizione, che scade il 22 Novembre 2025.</w:t>
      </w:r>
    </w:p>
    <w:p>
      <w:pPr>
        <w:pStyle w:val="Normal"/>
        <w:spacing w:lineRule="auto" w:line="360" w:before="0" w:after="0"/>
        <w:jc w:val="both"/>
        <w:rPr>
          <w:color w:val="000000"/>
        </w:rPr>
      </w:pPr>
      <w:r>
        <w:rPr>
          <w:rFonts w:cs="Calibri" w:ascii="Calibri" w:hAnsi="Calibri"/>
          <w:b/>
          <w:bCs/>
          <w:color w:val="000000"/>
          <w:sz w:val="20"/>
          <w:szCs w:val="20"/>
          <w:lang w:val="it-IT"/>
        </w:rPr>
        <w:t xml:space="preserve">NUOVA GIURISPRUDENZA </w:t>
      </w:r>
      <w:r>
        <w:rPr>
          <w:rFonts w:cs="Calibri" w:ascii="Calibri" w:hAnsi="Calibri"/>
          <w:color w:val="000000"/>
          <w:sz w:val="20"/>
          <w:szCs w:val="20"/>
          <w:lang w:val="it-IT"/>
        </w:rPr>
        <w:t xml:space="preserve">Il 30 novembre 2023 la situazione si evolve in favore dei risparmiatori. </w:t>
      </w:r>
    </w:p>
    <w:p>
      <w:pPr>
        <w:pStyle w:val="Normal"/>
        <w:spacing w:lineRule="auto" w:line="360" w:before="0" w:after="0"/>
        <w:jc w:val="both"/>
        <w:rPr>
          <w:color w:val="000000"/>
        </w:rPr>
      </w:pPr>
      <w:r>
        <w:rPr>
          <w:rFonts w:cs="Calibri" w:ascii="Calibri" w:hAnsi="Calibri"/>
          <w:color w:val="000000"/>
          <w:sz w:val="20"/>
          <w:szCs w:val="20"/>
          <w:lang w:val="it-IT"/>
        </w:rPr>
        <w:t xml:space="preserve">La Cassazione con </w:t>
      </w:r>
      <w:bookmarkStart w:id="1" w:name="_Hlk190597770"/>
      <w:r>
        <w:rPr>
          <w:rFonts w:cs="Calibri" w:ascii="Calibri" w:hAnsi="Calibri"/>
          <w:color w:val="000000"/>
          <w:sz w:val="20"/>
          <w:szCs w:val="20"/>
          <w:lang w:val="it-IT"/>
        </w:rPr>
        <w:t xml:space="preserve">sentenza n. 33416 </w:t>
      </w:r>
      <w:bookmarkEnd w:id="1"/>
      <w:r>
        <w:rPr>
          <w:rFonts w:cs="Calibri" w:ascii="Calibri" w:hAnsi="Calibri"/>
          <w:color w:val="000000"/>
          <w:sz w:val="20"/>
          <w:szCs w:val="20"/>
          <w:lang w:val="it-IT"/>
        </w:rPr>
        <w:t xml:space="preserve">ha annullato un decreto della Corte di Appello di Ancona e ha ritenuto che Intesa San Paolo, subentrata </w:t>
      </w:r>
      <w:r>
        <w:rPr>
          <w:rFonts w:cs="Calibri" w:ascii="Calibri" w:hAnsi="Calibri"/>
          <w:color w:val="000000"/>
          <w:sz w:val="20"/>
          <w:szCs w:val="20"/>
          <w:lang w:val="it-IT"/>
        </w:rPr>
        <w:t xml:space="preserve">a </w:t>
      </w:r>
      <w:r>
        <w:rPr>
          <w:rFonts w:cs="Calibri" w:ascii="Calibri" w:hAnsi="Calibri"/>
          <w:color w:val="000000"/>
          <w:sz w:val="20"/>
          <w:szCs w:val="20"/>
          <w:lang w:val="it-IT"/>
        </w:rPr>
        <w:t xml:space="preserve">Banca delle Marche, una delle quattro banche risolte del 2015 insieme a Carife - e che quindi è nella stessa situazione di BPER -, deve rispondere dei danni procurati ai risparmiatori per l’acquisto di azioni in violazione </w:t>
      </w:r>
      <w:r>
        <w:rPr>
          <w:rFonts w:cs="Calibri" w:ascii="Calibri" w:hAnsi="Calibri"/>
          <w:color w:val="000000"/>
          <w:sz w:val="20"/>
          <w:szCs w:val="20"/>
          <w:lang w:val="it-IT"/>
        </w:rPr>
        <w:t>de</w:t>
      </w:r>
      <w:r>
        <w:rPr>
          <w:rFonts w:cs="Calibri" w:ascii="Calibri" w:hAnsi="Calibri"/>
          <w:color w:val="000000"/>
          <w:sz w:val="20"/>
          <w:szCs w:val="20"/>
          <w:lang w:val="it-IT"/>
        </w:rPr>
        <w:t>lla normativa dei mercati finanziari.</w:t>
      </w:r>
    </w:p>
    <w:p>
      <w:pPr>
        <w:pStyle w:val="Normal"/>
        <w:spacing w:lineRule="auto" w:line="360" w:before="0" w:after="0"/>
        <w:jc w:val="both"/>
        <w:rPr>
          <w:color w:val="000000"/>
        </w:rPr>
      </w:pPr>
      <w:r>
        <w:rPr>
          <w:rFonts w:cs="Calibri" w:ascii="Calibri" w:hAnsi="Calibri"/>
          <w:color w:val="000000"/>
          <w:sz w:val="20"/>
          <w:szCs w:val="20"/>
          <w:lang w:val="it-IT"/>
        </w:rPr>
        <w:t xml:space="preserve">A seguito di ciò </w:t>
      </w:r>
      <w:r>
        <w:rPr>
          <w:rFonts w:cs="Calibri" w:ascii="Calibri" w:hAnsi="Calibri"/>
          <w:color w:val="000000"/>
          <w:sz w:val="20"/>
          <w:szCs w:val="20"/>
          <w:lang w:val="it-IT"/>
        </w:rPr>
        <w:t xml:space="preserve">la Corte d’Appello dell’Aquila, infatti, con </w:t>
      </w:r>
      <w:r>
        <w:rPr>
          <w:rFonts w:cs="Calibri" w:ascii="Calibri" w:hAnsi="Calibri"/>
          <w:color w:val="000000"/>
          <w:sz w:val="20"/>
          <w:szCs w:val="20"/>
          <w:lang w:val="it-IT"/>
        </w:rPr>
        <w:t xml:space="preserve">ben due sentenze in </w:t>
      </w:r>
      <w:r>
        <w:rPr>
          <w:rFonts w:cs="Calibri" w:ascii="Calibri" w:hAnsi="Calibri"/>
          <w:strike/>
          <w:color w:val="000000"/>
          <w:sz w:val="20"/>
          <w:szCs w:val="20"/>
          <w:lang w:val="it-IT"/>
        </w:rPr>
        <w:t xml:space="preserve">di </w:t>
      </w:r>
      <w:r>
        <w:rPr>
          <w:rFonts w:cs="Calibri" w:ascii="Calibri" w:hAnsi="Calibri"/>
          <w:color w:val="000000"/>
          <w:sz w:val="20"/>
          <w:szCs w:val="20"/>
          <w:lang w:val="it-IT"/>
        </w:rPr>
        <w:t xml:space="preserve">data successiva, </w:t>
      </w:r>
      <w:r>
        <w:rPr>
          <w:rFonts w:cs="Calibri" w:ascii="Calibri" w:hAnsi="Calibri"/>
          <w:color w:val="000000"/>
          <w:sz w:val="20"/>
          <w:szCs w:val="20"/>
          <w:lang w:val="it-IT"/>
        </w:rPr>
        <w:t xml:space="preserve">a maggio e </w:t>
      </w:r>
      <w:r>
        <w:rPr>
          <w:rFonts w:cs="Calibri" w:ascii="Calibri" w:hAnsi="Calibri"/>
          <w:color w:val="000000"/>
          <w:sz w:val="20"/>
          <w:szCs w:val="20"/>
          <w:lang w:val="it-IT"/>
        </w:rPr>
        <w:t xml:space="preserve">2024 ha confermato l’orientamento della Cassazione e ha ritenuto la responsabilità </w:t>
      </w:r>
      <w:r>
        <w:rPr>
          <w:rFonts w:cs="Calibri" w:ascii="Calibri" w:hAnsi="Calibri"/>
          <w:color w:val="000000"/>
          <w:sz w:val="20"/>
          <w:szCs w:val="20"/>
          <w:shd w:fill="auto" w:val="clear"/>
          <w:lang w:val="it-IT"/>
        </w:rPr>
        <w:t>della banca subentrata in una delle banche risolte</w:t>
      </w:r>
      <w:r>
        <w:rPr>
          <w:rFonts w:cs="Calibri" w:ascii="Calibri" w:hAnsi="Calibri"/>
          <w:color w:val="000000"/>
          <w:sz w:val="20"/>
          <w:szCs w:val="20"/>
          <w:lang w:val="it-IT"/>
        </w:rPr>
        <w:t>.</w:t>
      </w:r>
    </w:p>
    <w:p>
      <w:pPr>
        <w:pStyle w:val="Normal"/>
        <w:spacing w:lineRule="auto" w:line="360" w:before="0" w:after="0"/>
        <w:jc w:val="both"/>
        <w:rPr>
          <w:color w:val="000000"/>
        </w:rPr>
      </w:pPr>
      <w:r>
        <w:rPr>
          <w:rFonts w:cs="Calibri" w:ascii="Calibri" w:hAnsi="Calibri"/>
          <w:b/>
          <w:bCs/>
          <w:color w:val="000000"/>
          <w:sz w:val="20"/>
          <w:szCs w:val="20"/>
          <w:lang w:val="it-IT"/>
        </w:rPr>
        <w:t>NUOVE PROSPETTIVE</w:t>
      </w:r>
      <w:r>
        <w:rPr>
          <w:rFonts w:cs="Calibri" w:ascii="Calibri" w:hAnsi="Calibri"/>
          <w:color w:val="000000"/>
          <w:sz w:val="20"/>
          <w:szCs w:val="20"/>
          <w:lang w:val="it-IT"/>
        </w:rPr>
        <w:t xml:space="preserve"> A fronte di </w:t>
      </w:r>
      <w:r>
        <w:rPr>
          <w:rFonts w:cs="Calibri" w:ascii="Calibri" w:hAnsi="Calibri"/>
          <w:color w:val="000000"/>
          <w:sz w:val="20"/>
          <w:szCs w:val="20"/>
          <w:lang w:val="it-IT"/>
        </w:rPr>
        <w:t xml:space="preserve">questa evoluzione del </w:t>
      </w:r>
      <w:r>
        <w:rPr>
          <w:rFonts w:cs="Calibri" w:ascii="Calibri" w:hAnsi="Calibri"/>
          <w:color w:val="000000"/>
          <w:sz w:val="20"/>
          <w:szCs w:val="20"/>
          <w:lang w:val="it-IT"/>
        </w:rPr>
        <w:t>quadro legale è evidente che gli azionisti della CARIFE potranno ancora richiedere in sede giudiziale la differenza tra quanto percepito dal Fondo Indennizzo Risparmiatori (Fir) e quanto corrisposto a suo tempo per l’acquisto dei titoli azionari, oltre rivalutazione e interessi.</w:t>
      </w:r>
    </w:p>
    <w:p>
      <w:pPr>
        <w:pStyle w:val="Normal"/>
        <w:spacing w:lineRule="auto" w:line="360" w:before="0" w:after="0"/>
        <w:jc w:val="both"/>
        <w:rPr>
          <w:color w:val="000000"/>
        </w:rPr>
      </w:pPr>
      <w:r>
        <w:rPr>
          <w:rFonts w:cs="Calibri" w:ascii="Calibri" w:hAnsi="Calibri"/>
          <w:b/>
          <w:bCs/>
          <w:color w:val="000000"/>
          <w:sz w:val="20"/>
          <w:szCs w:val="20"/>
          <w:lang w:val="it-IT"/>
        </w:rPr>
        <w:t xml:space="preserve">PLAFOND DISPONIBILE </w:t>
      </w:r>
      <w:r>
        <w:rPr>
          <w:rFonts w:cs="Calibri" w:ascii="Calibri" w:hAnsi="Calibri"/>
          <w:color w:val="000000"/>
          <w:sz w:val="20"/>
          <w:szCs w:val="20"/>
          <w:lang w:val="it-IT"/>
        </w:rPr>
        <w:t xml:space="preserve">Le richieste risarcitorie non ricadrebbero direttamente sulla BPER perché nel contratto di cessione dell’ente ponte Nuova CARIFE, la Banca d’Italia ha previsto </w:t>
      </w:r>
      <w:r>
        <w:rPr>
          <w:rFonts w:cs="Calibri" w:ascii="Calibri" w:hAnsi="Calibri"/>
          <w:color w:val="000000"/>
          <w:sz w:val="20"/>
          <w:szCs w:val="20"/>
          <w:lang w:val="it-IT"/>
        </w:rPr>
        <w:t xml:space="preserve">un fondo di </w:t>
      </w:r>
      <w:r>
        <w:rPr>
          <w:rFonts w:cs="Calibri" w:ascii="Calibri" w:hAnsi="Calibri"/>
          <w:color w:val="000000"/>
          <w:sz w:val="20"/>
          <w:szCs w:val="20"/>
          <w:lang w:val="it-IT"/>
        </w:rPr>
        <w:t xml:space="preserve">garanzia </w:t>
      </w:r>
      <w:r>
        <w:rPr>
          <w:rFonts w:cs="Calibri" w:ascii="Calibri" w:hAnsi="Calibri"/>
          <w:i/>
          <w:iCs/>
          <w:color w:val="000000"/>
          <w:sz w:val="20"/>
          <w:szCs w:val="20"/>
          <w:lang w:val="it-IT"/>
        </w:rPr>
        <w:t xml:space="preserve">fino a 150 milioni di euro senza franchigia </w:t>
      </w:r>
      <w:r>
        <w:rPr>
          <w:rFonts w:cs="Calibri" w:ascii="Calibri" w:hAnsi="Calibri"/>
          <w:color w:val="000000"/>
          <w:sz w:val="20"/>
          <w:szCs w:val="20"/>
          <w:lang w:val="it-IT"/>
        </w:rPr>
        <w:t xml:space="preserve">in favore di BPER </w:t>
      </w:r>
      <w:r>
        <w:rPr>
          <w:rFonts w:cs="Calibri" w:ascii="Calibri" w:hAnsi="Calibri"/>
          <w:color w:val="000000"/>
          <w:sz w:val="20"/>
          <w:szCs w:val="20"/>
          <w:lang w:val="it-IT"/>
        </w:rPr>
        <w:t xml:space="preserve">al fine di tenerla indenne, tra l’altro, dalle </w:t>
      </w:r>
      <w:r>
        <w:rPr>
          <w:rFonts w:cs="Calibri" w:ascii="Calibri" w:hAnsi="Calibri"/>
          <w:i/>
          <w:iCs/>
          <w:color w:val="000000"/>
          <w:sz w:val="20"/>
          <w:szCs w:val="20"/>
          <w:lang w:val="it-IT"/>
        </w:rPr>
        <w:t>“perdite derivanti da possibili contenziosi con gli ex azionisti e con gli obbligazionisti subordinati”.</w:t>
      </w:r>
    </w:p>
    <w:p>
      <w:pPr>
        <w:pStyle w:val="Normal"/>
        <w:spacing w:lineRule="auto" w:line="360" w:before="0" w:after="0"/>
        <w:jc w:val="both"/>
        <w:rPr>
          <w:color w:val="000000"/>
        </w:rPr>
      </w:pPr>
      <w:r>
        <w:rPr>
          <w:rFonts w:cs="Calibri" w:ascii="Calibri" w:hAnsi="Calibri"/>
          <w:b/>
          <w:bCs/>
          <w:color w:val="000000"/>
          <w:sz w:val="20"/>
          <w:szCs w:val="20"/>
          <w:lang w:val="it-IT"/>
        </w:rPr>
        <w:t xml:space="preserve">DIRITTO IN SCADENZA </w:t>
      </w:r>
      <w:r>
        <w:rPr>
          <w:rFonts w:cs="Calibri" w:ascii="Calibri" w:hAnsi="Calibri"/>
          <w:color w:val="000000"/>
          <w:sz w:val="20"/>
          <w:szCs w:val="20"/>
          <w:lang w:val="it-IT"/>
        </w:rPr>
        <w:t xml:space="preserve">Bisogna però avvertire che le rivendicazioni </w:t>
      </w:r>
      <w:r>
        <w:rPr>
          <w:rFonts w:cs="Calibri" w:ascii="Calibri" w:hAnsi="Calibri"/>
          <w:color w:val="000000"/>
          <w:sz w:val="20"/>
          <w:szCs w:val="20"/>
          <w:lang w:val="it-IT"/>
        </w:rPr>
        <w:t xml:space="preserve">nei confronti della BPER per i danni subiti con l’acquisto delle Azioni Carife </w:t>
      </w:r>
      <w:r>
        <w:rPr>
          <w:rFonts w:cs="Calibri" w:ascii="Calibri" w:hAnsi="Calibri"/>
          <w:b/>
          <w:bCs/>
          <w:color w:val="000000"/>
          <w:sz w:val="20"/>
          <w:szCs w:val="20"/>
          <w:lang w:val="it-IT"/>
        </w:rPr>
        <w:t xml:space="preserve">dovranno </w:t>
      </w:r>
      <w:r>
        <w:rPr>
          <w:rFonts w:cs="Calibri" w:ascii="Calibri" w:hAnsi="Calibri"/>
          <w:b/>
          <w:bCs/>
          <w:color w:val="000000"/>
          <w:sz w:val="20"/>
          <w:szCs w:val="20"/>
          <w:lang w:val="it-IT"/>
        </w:rPr>
        <w:t>essere avanzate non oltre il 22 novembre 2025</w:t>
      </w:r>
      <w:r>
        <w:rPr>
          <w:rFonts w:cs="Calibri" w:ascii="Calibri" w:hAnsi="Calibri"/>
          <w:color w:val="000000"/>
          <w:sz w:val="20"/>
          <w:szCs w:val="20"/>
          <w:lang w:val="it-IT"/>
        </w:rPr>
        <w:t xml:space="preserve">, </w:t>
      </w:r>
      <w:r>
        <w:rPr>
          <w:rFonts w:cs="Calibri" w:ascii="Calibri" w:hAnsi="Calibri"/>
          <w:color w:val="000000"/>
          <w:sz w:val="20"/>
          <w:szCs w:val="20"/>
          <w:lang w:val="it-IT"/>
        </w:rPr>
        <w:t>vale a dire</w:t>
      </w:r>
      <w:r>
        <w:rPr>
          <w:rFonts w:cs="Calibri" w:ascii="Calibri" w:hAnsi="Calibri"/>
          <w:b/>
          <w:bCs/>
          <w:color w:val="000000"/>
          <w:sz w:val="20"/>
          <w:szCs w:val="20"/>
          <w:lang w:val="it-IT"/>
        </w:rPr>
        <w:t xml:space="preserve"> </w:t>
      </w:r>
      <w:r>
        <w:rPr>
          <w:rFonts w:cs="Calibri" w:ascii="Calibri" w:hAnsi="Calibri"/>
          <w:color w:val="000000"/>
          <w:sz w:val="20"/>
          <w:szCs w:val="20"/>
          <w:lang w:val="it-IT"/>
        </w:rPr>
        <w:t>entro</w:t>
      </w:r>
      <w:r>
        <w:rPr>
          <w:rFonts w:cs="Calibri" w:ascii="Calibri" w:hAnsi="Calibri"/>
          <w:b/>
          <w:bCs/>
          <w:color w:val="000000"/>
          <w:sz w:val="20"/>
          <w:szCs w:val="20"/>
          <w:lang w:val="it-IT"/>
        </w:rPr>
        <w:t xml:space="preserve"> </w:t>
      </w:r>
      <w:r>
        <w:rPr>
          <w:rFonts w:cs="Calibri" w:ascii="Calibri" w:hAnsi="Calibri"/>
          <w:color w:val="000000"/>
          <w:sz w:val="20"/>
          <w:szCs w:val="20"/>
          <w:lang w:val="it-IT"/>
        </w:rPr>
        <w:t xml:space="preserve">dieci anni dall’azzeramento dei titoli azionari. </w:t>
      </w:r>
      <w:r>
        <w:rPr>
          <w:rFonts w:cs="Calibri" w:ascii="Calibri" w:hAnsi="Calibri"/>
          <w:b/>
          <w:bCs/>
          <w:color w:val="000000"/>
          <w:sz w:val="20"/>
          <w:szCs w:val="20"/>
          <w:lang w:val="it-IT"/>
        </w:rPr>
        <w:t>Dopo tale data, ogni diritto è prescritto.</w:t>
      </w:r>
    </w:p>
    <w:p>
      <w:pPr>
        <w:pStyle w:val="Normal"/>
        <w:spacing w:lineRule="auto" w:line="360" w:before="0" w:after="0"/>
        <w:jc w:val="both"/>
        <w:rPr>
          <w:color w:val="000000"/>
        </w:rPr>
      </w:pPr>
      <w:r>
        <w:rPr>
          <w:rFonts w:cs="Calibri" w:ascii="Calibri" w:hAnsi="Calibri"/>
          <w:b/>
          <w:bCs/>
          <w:color w:val="000000"/>
          <w:sz w:val="20"/>
          <w:szCs w:val="20"/>
          <w:lang w:val="it-IT"/>
        </w:rPr>
        <w:t>INTERRUZIONE PRESCRIZIONE PER ALTRI DIECI ANNI</w:t>
      </w:r>
      <w:r>
        <w:rPr>
          <w:rFonts w:cs="Calibri" w:ascii="Calibri" w:hAnsi="Calibri"/>
          <w:color w:val="000000"/>
          <w:sz w:val="20"/>
          <w:szCs w:val="20"/>
          <w:lang w:val="it-IT"/>
        </w:rPr>
        <w:t xml:space="preserve"> </w:t>
      </w:r>
    </w:p>
    <w:p>
      <w:pPr>
        <w:pStyle w:val="Normal"/>
        <w:spacing w:lineRule="auto" w:line="360" w:before="0" w:after="0"/>
        <w:jc w:val="both"/>
        <w:rPr>
          <w:color w:val="000000"/>
        </w:rPr>
      </w:pPr>
      <w:r>
        <w:rPr>
          <w:rFonts w:cs="Calibri" w:ascii="Calibri" w:hAnsi="Calibri"/>
          <w:b/>
          <w:bCs/>
          <w:color w:val="000000"/>
          <w:sz w:val="20"/>
          <w:szCs w:val="20"/>
          <w:lang w:val="it-IT"/>
        </w:rPr>
        <w:t xml:space="preserve">La prescrizione del diritto al risarcimento </w:t>
      </w:r>
      <w:r>
        <w:rPr>
          <w:rFonts w:cs="Calibri" w:ascii="Calibri" w:hAnsi="Calibri"/>
          <w:b/>
          <w:bCs/>
          <w:color w:val="000000"/>
          <w:sz w:val="20"/>
          <w:szCs w:val="20"/>
          <w:lang w:val="it-IT"/>
        </w:rPr>
        <w:t xml:space="preserve">dei danni </w:t>
      </w:r>
      <w:r>
        <w:rPr>
          <w:rFonts w:cs="Calibri" w:ascii="Calibri" w:hAnsi="Calibri"/>
          <w:b/>
          <w:bCs/>
          <w:color w:val="000000"/>
          <w:sz w:val="20"/>
          <w:szCs w:val="20"/>
          <w:lang w:val="it-IT"/>
        </w:rPr>
        <w:t xml:space="preserve">può, quindi, essere interrotta con una lettera raccomandata </w:t>
      </w:r>
      <w:r>
        <w:rPr>
          <w:rFonts w:cs="Calibri" w:ascii="Calibri" w:hAnsi="Calibri"/>
          <w:b/>
          <w:bCs/>
          <w:color w:val="000000"/>
          <w:sz w:val="20"/>
          <w:szCs w:val="20"/>
          <w:lang w:val="it-IT"/>
        </w:rPr>
        <w:t xml:space="preserve">con ricevuta di ritorno </w:t>
      </w:r>
      <w:r>
        <w:rPr>
          <w:rFonts w:cs="Calibri" w:ascii="Calibri" w:hAnsi="Calibri"/>
          <w:b/>
          <w:bCs/>
          <w:color w:val="000000"/>
          <w:sz w:val="20"/>
          <w:szCs w:val="20"/>
          <w:lang w:val="it-IT"/>
        </w:rPr>
        <w:t xml:space="preserve">o </w:t>
      </w:r>
      <w:r>
        <w:rPr>
          <w:rFonts w:cs="Calibri" w:ascii="Calibri" w:hAnsi="Calibri"/>
          <w:b/>
          <w:bCs/>
          <w:color w:val="000000"/>
          <w:sz w:val="20"/>
          <w:szCs w:val="20"/>
          <w:lang w:val="it-IT"/>
        </w:rPr>
        <w:t xml:space="preserve">con una </w:t>
      </w:r>
      <w:r>
        <w:rPr>
          <w:rFonts w:cs="Calibri" w:ascii="Calibri" w:hAnsi="Calibri"/>
          <w:b/>
          <w:bCs/>
          <w:color w:val="000000"/>
          <w:sz w:val="20"/>
          <w:szCs w:val="20"/>
          <w:lang w:val="it-IT"/>
        </w:rPr>
        <w:t xml:space="preserve">PEC, che deve essere inviata alla BPER entro il 22 novembre 2025. Dalla consegna alla BPER della suddetta lettera decorreranno altri dieci anni per proporre validamente azioni giudiziarie, </w:t>
      </w:r>
      <w:r>
        <w:rPr>
          <w:rFonts w:cs="Calibri" w:ascii="Calibri" w:hAnsi="Calibri"/>
          <w:b/>
          <w:bCs/>
          <w:color w:val="000000"/>
          <w:sz w:val="20"/>
          <w:szCs w:val="20"/>
          <w:shd w:fill="auto" w:val="clear"/>
          <w:lang w:val="it-IT"/>
        </w:rPr>
        <w:t>comunque, non obbligatorie.</w:t>
      </w:r>
      <w:r>
        <w:rPr>
          <w:rFonts w:cs="Calibri" w:ascii="Calibri" w:hAnsi="Calibri"/>
          <w:color w:val="000000"/>
          <w:sz w:val="20"/>
          <w:szCs w:val="20"/>
          <w:lang w:val="it-IT"/>
        </w:rPr>
        <w:t xml:space="preserve"> </w:t>
      </w:r>
    </w:p>
    <w:p>
      <w:pPr>
        <w:pStyle w:val="Normal"/>
        <w:spacing w:lineRule="auto" w:line="360" w:before="0" w:after="0"/>
        <w:jc w:val="both"/>
        <w:rPr>
          <w:color w:val="000000"/>
        </w:rPr>
      </w:pPr>
      <w:r>
        <w:rPr>
          <w:rFonts w:cs="Calibri" w:ascii="Calibri" w:hAnsi="Calibri"/>
          <w:b/>
          <w:bCs/>
          <w:color w:val="000000"/>
          <w:sz w:val="20"/>
          <w:szCs w:val="20"/>
          <w:lang w:val="it-IT"/>
        </w:rPr>
        <w:t>LA LETTERA</w:t>
      </w:r>
      <w:r>
        <w:rPr>
          <w:rFonts w:cs="Calibri" w:ascii="Calibri" w:hAnsi="Calibri"/>
          <w:color w:val="000000"/>
          <w:sz w:val="20"/>
          <w:szCs w:val="20"/>
          <w:lang w:val="it-IT"/>
        </w:rPr>
        <w:t xml:space="preserve"> Le associazioni invitano pertanto i risparmiatori a inviare tempestivamente la lettera interruttiva della prescrizione, il cui modello si può scaricare dai seguenti siti: </w:t>
      </w:r>
      <w:r>
        <w:rPr>
          <w:rFonts w:cs="Calibri" w:ascii="Calibri" w:hAnsi="Calibri"/>
          <w:color w:val="000000"/>
          <w:sz w:val="20"/>
          <w:szCs w:val="20"/>
          <w:lang w:val="it-IT"/>
        </w:rPr>
        <w:t>https://www.robinreport.it/it/robin-report/lettera-interruzione-prescrizione-carife</w:t>
      </w:r>
    </w:p>
    <w:p>
      <w:pPr>
        <w:pStyle w:val="Normal"/>
        <w:spacing w:lineRule="auto" w:line="360" w:before="0" w:after="0"/>
        <w:jc w:val="both"/>
        <w:rPr>
          <w:color w:val="000000"/>
        </w:rPr>
      </w:pPr>
      <w:r>
        <w:rPr>
          <w:rFonts w:cs="Calibri" w:ascii="Calibri" w:hAnsi="Calibri"/>
          <w:color w:val="000000"/>
          <w:sz w:val="20"/>
          <w:szCs w:val="20"/>
          <w:lang w:val="it-IT"/>
        </w:rPr>
        <w:t>Inviata la lettera alla BPER con raccomandata A/R o con PEC si dovrà inviare copia per conoscenza alle seguenti e-mail delle associazion</w:t>
      </w:r>
      <w:r>
        <w:rPr>
          <w:rFonts w:cs="Calibri" w:ascii="Calibri" w:hAnsi="Calibri"/>
          <w:color w:val="000000"/>
          <w:sz w:val="20"/>
          <w:szCs w:val="20"/>
          <w:lang w:val="it-IT"/>
        </w:rPr>
        <w:t xml:space="preserve">i: </w:t>
      </w:r>
      <w:hyperlink r:id="rId2">
        <w:r>
          <w:rPr>
            <w:rStyle w:val="Internetverknpfung"/>
            <w:rFonts w:cs="Calibri" w:ascii="Calibri" w:hAnsi="Calibri"/>
            <w:color w:val="000000"/>
            <w:sz w:val="20"/>
            <w:szCs w:val="20"/>
            <w:lang w:val="it-IT"/>
          </w:rPr>
          <w:t>info@aicferrara.it</w:t>
        </w:r>
      </w:hyperlink>
      <w:r>
        <w:rPr>
          <w:rFonts w:cs="Calibri" w:ascii="Calibri" w:hAnsi="Calibri"/>
          <w:color w:val="000000"/>
          <w:sz w:val="20"/>
          <w:szCs w:val="20"/>
          <w:lang w:val="it-IT"/>
        </w:rPr>
        <w:t xml:space="preserve">, </w:t>
      </w:r>
      <w:hyperlink r:id="rId3">
        <w:r>
          <w:rPr>
            <w:rStyle w:val="Internetverknpfung"/>
            <w:rFonts w:cs="Calibri" w:ascii="Calibri" w:hAnsi="Calibri"/>
            <w:color w:val="000000"/>
            <w:sz w:val="20"/>
            <w:szCs w:val="20"/>
            <w:lang w:val="it-IT"/>
          </w:rPr>
          <w:t>risparmiatoricarife@gmail.com</w:t>
        </w:r>
      </w:hyperlink>
      <w:r>
        <w:rPr>
          <w:rFonts w:cs="Calibri" w:ascii="Calibri" w:hAnsi="Calibri"/>
          <w:color w:val="000000"/>
          <w:sz w:val="20"/>
          <w:szCs w:val="20"/>
          <w:lang w:val="it-IT"/>
        </w:rPr>
        <w:t>-</w:t>
      </w:r>
    </w:p>
    <w:p>
      <w:pPr>
        <w:pStyle w:val="Normal"/>
        <w:spacing w:lineRule="auto" w:line="360" w:before="0" w:after="0"/>
        <w:jc w:val="both"/>
        <w:rPr>
          <w:color w:val="000000"/>
        </w:rPr>
      </w:pPr>
      <w:r>
        <w:rPr>
          <w:rFonts w:cs="Calibri" w:ascii="Calibri" w:hAnsi="Calibri"/>
          <w:b/>
          <w:bCs/>
          <w:color w:val="000000"/>
          <w:sz w:val="20"/>
          <w:szCs w:val="20"/>
          <w:lang w:val="it-IT"/>
        </w:rPr>
        <w:t>INTERVENTI</w:t>
      </w:r>
    </w:p>
    <w:p>
      <w:pPr>
        <w:pStyle w:val="Normal"/>
        <w:spacing w:lineRule="auto" w:line="360" w:before="0" w:after="0"/>
        <w:jc w:val="both"/>
        <w:rPr>
          <w:color w:val="000000"/>
        </w:rPr>
      </w:pPr>
      <w:r>
        <w:rPr>
          <w:rFonts w:cs="Calibri" w:ascii="Calibri" w:hAnsi="Calibri"/>
          <w:b/>
          <w:bCs/>
          <w:color w:val="000000"/>
          <w:sz w:val="20"/>
          <w:szCs w:val="20"/>
          <w:lang w:val="it-IT"/>
        </w:rPr>
        <w:t>Avv. Prof. Massimo Cerniglia</w:t>
      </w:r>
      <w:r>
        <w:rPr>
          <w:rFonts w:cs="Calibri" w:ascii="Calibri" w:hAnsi="Calibri"/>
          <w:color w:val="000000"/>
          <w:sz w:val="20"/>
          <w:szCs w:val="20"/>
          <w:lang w:val="it-IT"/>
        </w:rPr>
        <w:t xml:space="preserve">, </w:t>
      </w:r>
      <w:r>
        <w:rPr>
          <w:rFonts w:cs="Calibri" w:ascii="Calibri" w:hAnsi="Calibri"/>
          <w:color w:val="000000"/>
          <w:sz w:val="20"/>
          <w:szCs w:val="20"/>
          <w:lang w:val="it-IT"/>
        </w:rPr>
        <w:t>che ha operato nel territorio di Ferrara dal 2005 al 2015 difendendo con successo migliaia di risparmiatori in sede giudiziale per la questione dei “Bond Argentina”, dichiara che</w:t>
      </w:r>
      <w:r>
        <w:rPr>
          <w:rFonts w:cs="Calibri" w:ascii="Calibri" w:hAnsi="Calibri"/>
          <w:i/>
          <w:iCs/>
          <w:color w:val="000000"/>
          <w:sz w:val="20"/>
          <w:szCs w:val="20"/>
          <w:lang w:val="it-IT"/>
        </w:rPr>
        <w:t xml:space="preserve"> </w:t>
      </w:r>
      <w:r>
        <w:rPr>
          <w:rFonts w:cs="Calibri" w:ascii="Calibri" w:hAnsi="Calibri"/>
          <w:i/>
          <w:iCs/>
          <w:color w:val="000000"/>
          <w:sz w:val="20"/>
          <w:szCs w:val="20"/>
          <w:lang w:val="it-IT"/>
        </w:rPr>
        <w:t xml:space="preserve">“Inizialmente, sia il Tribunale di Ferrara sia il Tribunale di Milano avevano dichiarato la legittimazione passiva della BPER per alcune cause promosse da azionisti che avevano acquistato, in violazione della legge sui mercati finanziari, pacchetti consistenti di azioni della CARIFE. Successivamente, però, la maggior parte dei tribunali italiani e le corti d’appello hanno dichiarato il difetto di legittimazione passiva della BPER con la conseguenza che la stessa non doveva rispondere </w:t>
      </w:r>
      <w:r>
        <w:rPr>
          <w:rFonts w:cs="Calibri" w:ascii="Calibri" w:hAnsi="Calibri"/>
          <w:i/>
          <w:iCs/>
          <w:color w:val="000000"/>
          <w:sz w:val="20"/>
          <w:szCs w:val="20"/>
          <w:lang w:val="it-IT"/>
        </w:rPr>
        <w:t xml:space="preserve">dei danni subiti dai risparmiatori a seguito dell’azzeramento delle Azioni Carife. </w:t>
      </w:r>
    </w:p>
    <w:p>
      <w:pPr>
        <w:pStyle w:val="Normal"/>
        <w:spacing w:lineRule="auto" w:line="360" w:before="0" w:after="0"/>
        <w:jc w:val="both"/>
        <w:rPr>
          <w:color w:val="000000"/>
        </w:rPr>
      </w:pPr>
      <w:r>
        <w:rPr>
          <w:rFonts w:cs="Calibri" w:ascii="Calibri" w:hAnsi="Calibri"/>
          <w:i/>
          <w:iCs/>
          <w:color w:val="000000"/>
          <w:sz w:val="20"/>
          <w:szCs w:val="20"/>
          <w:lang w:val="it-IT"/>
        </w:rPr>
        <w:t>La menzionata sentenza</w:t>
      </w:r>
      <w:r>
        <w:rPr>
          <w:rFonts w:cs="Calibri" w:ascii="Calibri" w:hAnsi="Calibri"/>
          <w:color w:val="000000"/>
        </w:rPr>
        <w:t xml:space="preserve"> </w:t>
      </w:r>
      <w:r>
        <w:rPr>
          <w:rFonts w:cs="Calibri" w:ascii="Calibri" w:hAnsi="Calibri"/>
          <w:i/>
          <w:iCs/>
          <w:color w:val="000000"/>
          <w:sz w:val="20"/>
          <w:szCs w:val="20"/>
          <w:lang w:val="it-IT"/>
        </w:rPr>
        <w:t>n. 33416</w:t>
      </w:r>
      <w:r>
        <w:rPr>
          <w:rFonts w:cs="Calibri" w:ascii="Calibri" w:hAnsi="Calibri"/>
          <w:i/>
          <w:iCs/>
          <w:color w:val="000000"/>
          <w:sz w:val="20"/>
          <w:szCs w:val="20"/>
          <w:lang w:val="it-IT"/>
        </w:rPr>
        <w:t>/2023</w:t>
      </w:r>
      <w:r>
        <w:rPr>
          <w:rFonts w:cs="Calibri" w:ascii="Calibri" w:hAnsi="Calibri"/>
          <w:i/>
          <w:iCs/>
          <w:color w:val="000000"/>
          <w:sz w:val="20"/>
          <w:szCs w:val="20"/>
          <w:lang w:val="it-IT"/>
        </w:rPr>
        <w:t xml:space="preserve"> della Cassazione ha un valore rilevante perché </w:t>
      </w:r>
      <w:r>
        <w:rPr>
          <w:rFonts w:cs="Calibri" w:ascii="Calibri" w:hAnsi="Calibri"/>
          <w:i/>
          <w:iCs/>
          <w:color w:val="000000"/>
          <w:sz w:val="20"/>
          <w:szCs w:val="20"/>
          <w:lang w:val="it-IT"/>
        </w:rPr>
        <w:t>ha riconosciuto la legittimazione passiva della BPER, quale acquirente della Nuova Carife, chiamandola a risarcire i danni subiti dai risparmiatori.</w:t>
      </w:r>
    </w:p>
    <w:p>
      <w:pPr>
        <w:pStyle w:val="Normal"/>
        <w:spacing w:lineRule="auto" w:line="360" w:before="0" w:after="0"/>
        <w:jc w:val="both"/>
        <w:rPr>
          <w:color w:val="000000"/>
        </w:rPr>
      </w:pPr>
      <w:r>
        <w:rPr>
          <w:rFonts w:cs="Calibri" w:ascii="Calibri" w:hAnsi="Calibri"/>
          <w:i/>
          <w:iCs/>
          <w:color w:val="000000"/>
          <w:sz w:val="20"/>
          <w:szCs w:val="20"/>
          <w:lang w:val="it-IT"/>
        </w:rPr>
        <w:t>Ritengo che</w:t>
      </w:r>
      <w:r>
        <w:rPr>
          <w:rFonts w:cs="Calibri" w:ascii="Calibri" w:hAnsi="Calibri"/>
          <w:i/>
          <w:iCs/>
          <w:color w:val="000000"/>
          <w:sz w:val="20"/>
          <w:szCs w:val="20"/>
          <w:lang w:val="it-IT"/>
        </w:rPr>
        <w:t xml:space="preserve"> i giudici di merito dovrebbero conformare </w:t>
      </w:r>
      <w:r>
        <w:rPr>
          <w:rFonts w:cs="Calibri" w:ascii="Calibri" w:hAnsi="Calibri"/>
          <w:i/>
          <w:iCs/>
          <w:color w:val="000000"/>
          <w:sz w:val="20"/>
          <w:szCs w:val="20"/>
          <w:lang w:val="it-IT"/>
        </w:rPr>
        <w:t xml:space="preserve">le proprie decisioni al nuovo orientamento della Cassazione </w:t>
      </w:r>
      <w:r>
        <w:rPr>
          <w:rFonts w:cs="Calibri" w:ascii="Calibri" w:hAnsi="Calibri"/>
          <w:i/>
          <w:iCs/>
          <w:color w:val="000000"/>
          <w:sz w:val="20"/>
          <w:szCs w:val="20"/>
          <w:lang w:val="it-IT"/>
        </w:rPr>
        <w:t>e, quindi, ritenere, anche per quanto riguarda Carife, che BPER debba rispondere in via risarcitoria per i risparmiatori.</w:t>
      </w:r>
    </w:p>
    <w:p>
      <w:pPr>
        <w:pStyle w:val="Normal"/>
        <w:spacing w:lineRule="auto" w:line="360" w:before="0" w:after="0"/>
        <w:jc w:val="both"/>
        <w:rPr>
          <w:rFonts w:ascii="Calibri" w:hAnsi="Calibri" w:cs="Calibri"/>
          <w:b/>
          <w:b/>
          <w:bCs/>
          <w:color w:val="000000"/>
          <w:sz w:val="20"/>
          <w:szCs w:val="20"/>
          <w:lang w:val="it-IT"/>
        </w:rPr>
      </w:pPr>
      <w:r>
        <w:rPr>
          <w:rFonts w:cs="Calibri" w:ascii="Calibri" w:hAnsi="Calibri"/>
          <w:b/>
          <w:bCs/>
          <w:color w:val="000000"/>
          <w:sz w:val="20"/>
          <w:szCs w:val="20"/>
          <w:lang w:val="it-IT"/>
        </w:rPr>
      </w:r>
    </w:p>
    <w:p>
      <w:pPr>
        <w:pStyle w:val="Normal"/>
        <w:spacing w:lineRule="auto" w:line="360" w:before="0" w:after="0"/>
        <w:jc w:val="both"/>
        <w:rPr>
          <w:color w:val="000000"/>
        </w:rPr>
      </w:pPr>
      <w:r>
        <w:rPr>
          <w:rFonts w:cs="Calibri" w:ascii="Calibri" w:hAnsi="Calibri"/>
          <w:b/>
          <w:bCs/>
          <w:color w:val="000000"/>
          <w:sz w:val="20"/>
          <w:szCs w:val="20"/>
          <w:lang w:val="it-IT"/>
        </w:rPr>
        <w:t>Avv. Alessandro Caponi</w:t>
      </w:r>
      <w:r>
        <w:rPr>
          <w:rFonts w:cs="Calibri" w:ascii="Calibri" w:hAnsi="Calibri"/>
          <w:color w:val="000000"/>
          <w:sz w:val="20"/>
          <w:szCs w:val="20"/>
          <w:lang w:val="it-IT"/>
        </w:rPr>
        <w:t xml:space="preserve"> </w:t>
      </w:r>
      <w:r>
        <w:rPr>
          <w:rFonts w:cs="Calibri" w:ascii="Calibri" w:hAnsi="Calibri"/>
          <w:color w:val="000000"/>
          <w:sz w:val="20"/>
          <w:szCs w:val="20"/>
          <w:lang w:val="it-IT"/>
        </w:rPr>
        <w:t>dichiara che “</w:t>
      </w:r>
      <w:r>
        <w:rPr>
          <w:rFonts w:cs="Calibri" w:ascii="Calibri" w:hAnsi="Calibri"/>
          <w:i/>
          <w:iCs/>
          <w:color w:val="000000"/>
          <w:sz w:val="20"/>
          <w:szCs w:val="20"/>
          <w:lang w:val="it-IT"/>
        </w:rPr>
        <w:t>Altro profilo rilevante nella vicenda Carife, da ultimo chiarito, riguarda la prescrizione del diritto al risarcimento del danno.</w:t>
      </w:r>
    </w:p>
    <w:p>
      <w:pPr>
        <w:pStyle w:val="Normal"/>
        <w:spacing w:lineRule="auto" w:line="360" w:before="0" w:after="0"/>
        <w:jc w:val="both"/>
        <w:rPr>
          <w:color w:val="000000"/>
        </w:rPr>
      </w:pPr>
      <w:r>
        <w:rPr>
          <w:rFonts w:cs="Calibri" w:ascii="Calibri" w:hAnsi="Calibri"/>
          <w:i/>
          <w:iCs/>
          <w:color w:val="000000"/>
          <w:sz w:val="20"/>
          <w:szCs w:val="20"/>
          <w:lang w:val="it-IT"/>
        </w:rPr>
        <w:t>Infatti con la recente sentenza n. 32226/2024 la Cassazione ha definitivamente chiarito che la prescrizione decennale del diritto al risarcimento dei danni nell’ambito degli investimenti finanziari decorre solo dal momento in cui diventa concreta e percepibile con l’ordinaria diligenza la lesione patrimoniale subita, che nel caso della Azioni Carife va collocamento al momento del loro azzeramento, avvenuto il 22 novembre 2015.</w:t>
      </w:r>
    </w:p>
    <w:p>
      <w:pPr>
        <w:pStyle w:val="Normal"/>
        <w:spacing w:lineRule="auto" w:line="360" w:before="0" w:after="0"/>
        <w:jc w:val="both"/>
        <w:rPr>
          <w:color w:val="000000"/>
        </w:rPr>
      </w:pPr>
      <w:r>
        <w:rPr>
          <w:rFonts w:cs="Calibri" w:ascii="Calibri" w:hAnsi="Calibri"/>
          <w:i/>
          <w:iCs/>
          <w:color w:val="000000"/>
          <w:sz w:val="20"/>
          <w:szCs w:val="20"/>
          <w:lang w:val="it-IT"/>
        </w:rPr>
        <w:t xml:space="preserve">Infine, segnalo che lo Studio legale Cerniglia ha promosso davanti alla Cassazione un regolamento di competenza che deciderà sul valore giuridico da attribuire ai lodi emessi dall’Arbitro Consob ACF. </w:t>
      </w:r>
    </w:p>
    <w:p>
      <w:pPr>
        <w:pStyle w:val="Normal"/>
        <w:spacing w:lineRule="auto" w:line="360" w:before="0" w:after="0"/>
        <w:jc w:val="both"/>
        <w:rPr>
          <w:color w:val="000000"/>
        </w:rPr>
      </w:pPr>
      <w:r>
        <w:rPr>
          <w:rFonts w:cs="Calibri" w:ascii="Calibri" w:hAnsi="Calibri"/>
          <w:i/>
          <w:iCs/>
          <w:color w:val="000000"/>
          <w:sz w:val="20"/>
          <w:szCs w:val="20"/>
          <w:lang w:val="it-IT"/>
        </w:rPr>
        <w:t xml:space="preserve">È risaputo come la BPER non abbia mai adempiuto ai numerosi lodi ACF che l’hanno condannata a risarcire i danni per le Azioni Carife. Anche tale situazione cambierà se la Cassazione riconoscerà valore giuridico vincolante ai lodi ACF. </w:t>
      </w:r>
    </w:p>
    <w:p>
      <w:pPr>
        <w:pStyle w:val="Normal"/>
        <w:spacing w:lineRule="auto" w:line="360" w:before="0" w:after="0"/>
        <w:jc w:val="both"/>
        <w:rPr>
          <w:rFonts w:ascii="Calibri" w:hAnsi="Calibri" w:cs="Calibri"/>
          <w:b/>
          <w:b/>
          <w:bCs/>
          <w:color w:val="000000"/>
          <w:sz w:val="20"/>
          <w:szCs w:val="20"/>
          <w:lang w:val="it-IT"/>
        </w:rPr>
      </w:pPr>
      <w:r>
        <w:rPr>
          <w:rFonts w:cs="Calibri" w:ascii="Calibri" w:hAnsi="Calibri"/>
          <w:b/>
          <w:bCs/>
          <w:color w:val="000000"/>
          <w:sz w:val="20"/>
          <w:szCs w:val="20"/>
          <w:lang w:val="it-IT"/>
        </w:rPr>
      </w:r>
    </w:p>
    <w:p>
      <w:pPr>
        <w:pStyle w:val="Normal"/>
        <w:spacing w:lineRule="auto" w:line="360" w:before="0" w:after="0"/>
        <w:jc w:val="both"/>
        <w:rPr>
          <w:color w:val="000000"/>
        </w:rPr>
      </w:pPr>
      <w:r>
        <w:rPr>
          <w:rFonts w:cs="Calibri" w:ascii="Calibri" w:hAnsi="Calibri"/>
          <w:b/>
          <w:bCs/>
          <w:color w:val="000000"/>
          <w:sz w:val="20"/>
          <w:szCs w:val="20"/>
          <w:lang w:val="it-IT"/>
        </w:rPr>
        <w:t>Milena Zaggia-Giovanna Mazzoni:</w:t>
      </w:r>
      <w:r>
        <w:rPr>
          <w:rFonts w:cs="Calibri" w:ascii="Calibri" w:hAnsi="Calibri"/>
          <w:color w:val="000000"/>
          <w:sz w:val="20"/>
          <w:szCs w:val="20"/>
          <w:lang w:val="it-IT"/>
        </w:rPr>
        <w:t xml:space="preserve"> </w:t>
      </w:r>
      <w:r>
        <w:rPr>
          <w:rFonts w:cs="Calibri" w:ascii="Calibri" w:hAnsi="Calibri"/>
          <w:i/>
          <w:iCs/>
          <w:color w:val="000000"/>
          <w:sz w:val="20"/>
          <w:szCs w:val="20"/>
          <w:lang w:val="it-IT"/>
        </w:rPr>
        <w:t>Come si vede, le possibilità di tutela sono ben presenti e valide, per cui chi lotta può anche perdere ma chi non lotta ha già perso.</w:t>
      </w:r>
    </w:p>
    <w:sectPr>
      <w:type w:val="nextPage"/>
      <w:pgSz w:w="11906" w:h="16838"/>
      <w:pgMar w:left="1134" w:right="849" w:gutter="0" w:header="0" w:top="851" w:footer="0" w:bottom="709"/>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Liberation Sans">
    <w:altName w:val="Arial"/>
    <w:charset w:val="01"/>
    <w:family w:val="swiss"/>
    <w:pitch w:val="variable"/>
  </w:font>
  <w:font w:name="Calibri">
    <w:charset w:val="01"/>
    <w:family w:val="roman"/>
    <w:pitch w:val="variable"/>
  </w:font>
</w:fonts>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en-GB"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Aptos" w:hAnsi="Aptos" w:eastAsia="Aptos" w:cs="" w:asciiTheme="minorHAnsi" w:cstheme="minorBidi" w:eastAsiaTheme="minorHAnsi" w:hAnsiTheme="minorHAnsi"/>
      <w:color w:val="auto"/>
      <w:kern w:val="2"/>
      <w:sz w:val="22"/>
      <w:szCs w:val="22"/>
      <w:lang w:val="en-GB" w:eastAsia="en-US" w:bidi="ar-SA"/>
      <w14:ligatures w14:val="standardContextual"/>
    </w:rPr>
  </w:style>
  <w:style w:type="paragraph" w:styleId="Berschrift1">
    <w:name w:val="Heading 1"/>
    <w:basedOn w:val="Normal"/>
    <w:next w:val="Normal"/>
    <w:link w:val="Titolo1Carattere"/>
    <w:uiPriority w:val="9"/>
    <w:qFormat/>
    <w:rsid w:val="00d2032c"/>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Berschrift2">
    <w:name w:val="Heading 2"/>
    <w:basedOn w:val="Normal"/>
    <w:next w:val="Normal"/>
    <w:link w:val="Titolo2Carattere"/>
    <w:uiPriority w:val="9"/>
    <w:semiHidden/>
    <w:unhideWhenUsed/>
    <w:qFormat/>
    <w:rsid w:val="00d2032c"/>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Berschrift3">
    <w:name w:val="Heading 3"/>
    <w:basedOn w:val="Normal"/>
    <w:next w:val="Normal"/>
    <w:link w:val="Titolo3Carattere"/>
    <w:uiPriority w:val="9"/>
    <w:semiHidden/>
    <w:unhideWhenUsed/>
    <w:qFormat/>
    <w:rsid w:val="00d2032c"/>
    <w:pPr>
      <w:keepNext w:val="true"/>
      <w:keepLines/>
      <w:spacing w:before="160" w:after="80"/>
      <w:outlineLvl w:val="2"/>
    </w:pPr>
    <w:rPr>
      <w:rFonts w:eastAsia="" w:cs="" w:cstheme="majorBidi" w:eastAsiaTheme="majorEastAsia"/>
      <w:color w:val="0F4761" w:themeColor="accent1" w:themeShade="bf"/>
      <w:sz w:val="28"/>
      <w:szCs w:val="28"/>
    </w:rPr>
  </w:style>
  <w:style w:type="paragraph" w:styleId="Berschrift4">
    <w:name w:val="Heading 4"/>
    <w:basedOn w:val="Normal"/>
    <w:next w:val="Normal"/>
    <w:link w:val="Titolo4Carattere"/>
    <w:uiPriority w:val="9"/>
    <w:semiHidden/>
    <w:unhideWhenUsed/>
    <w:qFormat/>
    <w:rsid w:val="00d2032c"/>
    <w:pPr>
      <w:keepNext w:val="true"/>
      <w:keepLines/>
      <w:spacing w:before="80" w:after="40"/>
      <w:outlineLvl w:val="3"/>
    </w:pPr>
    <w:rPr>
      <w:rFonts w:eastAsia="" w:cs="" w:cstheme="majorBidi" w:eastAsiaTheme="majorEastAsia"/>
      <w:i/>
      <w:iCs/>
      <w:color w:val="0F4761" w:themeColor="accent1" w:themeShade="bf"/>
    </w:rPr>
  </w:style>
  <w:style w:type="paragraph" w:styleId="Berschrift5">
    <w:name w:val="Heading 5"/>
    <w:basedOn w:val="Normal"/>
    <w:next w:val="Normal"/>
    <w:link w:val="Titolo5Carattere"/>
    <w:uiPriority w:val="9"/>
    <w:semiHidden/>
    <w:unhideWhenUsed/>
    <w:qFormat/>
    <w:rsid w:val="00d2032c"/>
    <w:pPr>
      <w:keepNext w:val="true"/>
      <w:keepLines/>
      <w:spacing w:before="80" w:after="40"/>
      <w:outlineLvl w:val="4"/>
    </w:pPr>
    <w:rPr>
      <w:rFonts w:eastAsia="" w:cs="" w:cstheme="majorBidi" w:eastAsiaTheme="majorEastAsia"/>
      <w:color w:val="0F4761" w:themeColor="accent1" w:themeShade="bf"/>
    </w:rPr>
  </w:style>
  <w:style w:type="paragraph" w:styleId="Berschrift6">
    <w:name w:val="Heading 6"/>
    <w:basedOn w:val="Normal"/>
    <w:next w:val="Normal"/>
    <w:link w:val="Titolo6Carattere"/>
    <w:uiPriority w:val="9"/>
    <w:semiHidden/>
    <w:unhideWhenUsed/>
    <w:qFormat/>
    <w:rsid w:val="00d2032c"/>
    <w:pPr>
      <w:keepNext w:val="true"/>
      <w:keepLines/>
      <w:spacing w:before="40" w:after="0"/>
      <w:outlineLvl w:val="5"/>
    </w:pPr>
    <w:rPr>
      <w:rFonts w:eastAsia="" w:cs="" w:cstheme="majorBidi" w:eastAsiaTheme="majorEastAsia"/>
      <w:i/>
      <w:iCs/>
      <w:color w:val="595959" w:themeColor="text1" w:themeTint="a6"/>
    </w:rPr>
  </w:style>
  <w:style w:type="paragraph" w:styleId="Berschrift7">
    <w:name w:val="Heading 7"/>
    <w:basedOn w:val="Normal"/>
    <w:next w:val="Normal"/>
    <w:link w:val="Titolo7Carattere"/>
    <w:uiPriority w:val="9"/>
    <w:semiHidden/>
    <w:unhideWhenUsed/>
    <w:qFormat/>
    <w:rsid w:val="00d2032c"/>
    <w:pPr>
      <w:keepNext w:val="true"/>
      <w:keepLines/>
      <w:spacing w:before="40" w:after="0"/>
      <w:outlineLvl w:val="6"/>
    </w:pPr>
    <w:rPr>
      <w:rFonts w:eastAsia="" w:cs="" w:cstheme="majorBidi" w:eastAsiaTheme="majorEastAsia"/>
      <w:color w:val="595959" w:themeColor="text1" w:themeTint="a6"/>
    </w:rPr>
  </w:style>
  <w:style w:type="paragraph" w:styleId="Berschrift8">
    <w:name w:val="Heading 8"/>
    <w:basedOn w:val="Normal"/>
    <w:next w:val="Normal"/>
    <w:link w:val="Titolo8Carattere"/>
    <w:uiPriority w:val="9"/>
    <w:semiHidden/>
    <w:unhideWhenUsed/>
    <w:qFormat/>
    <w:rsid w:val="00d2032c"/>
    <w:pPr>
      <w:keepNext w:val="true"/>
      <w:keepLines/>
      <w:spacing w:before="0" w:after="0"/>
      <w:outlineLvl w:val="7"/>
    </w:pPr>
    <w:rPr>
      <w:rFonts w:eastAsia="" w:cs="" w:cstheme="majorBidi" w:eastAsiaTheme="majorEastAsia"/>
      <w:i/>
      <w:iCs/>
      <w:color w:val="272727" w:themeColor="text1" w:themeTint="d8"/>
    </w:rPr>
  </w:style>
  <w:style w:type="paragraph" w:styleId="Berschrift9">
    <w:name w:val="Heading 9"/>
    <w:basedOn w:val="Normal"/>
    <w:next w:val="Normal"/>
    <w:link w:val="Titolo9Carattere"/>
    <w:uiPriority w:val="9"/>
    <w:semiHidden/>
    <w:unhideWhenUsed/>
    <w:qFormat/>
    <w:rsid w:val="00d2032c"/>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uiPriority w:val="9"/>
    <w:qFormat/>
    <w:rsid w:val="00d2032c"/>
    <w:rPr>
      <w:rFonts w:ascii="Aptos Display" w:hAnsi="Aptos Display" w:eastAsia="" w:cs="" w:asciiTheme="majorHAnsi" w:cstheme="majorBidi" w:eastAsiaTheme="majorEastAsia" w:hAnsiTheme="majorHAnsi"/>
      <w:color w:val="0F4761" w:themeColor="accent1" w:themeShade="bf"/>
      <w:sz w:val="40"/>
      <w:szCs w:val="40"/>
    </w:rPr>
  </w:style>
  <w:style w:type="character" w:styleId="Titolo2Carattere" w:customStyle="1">
    <w:name w:val="Titolo 2 Carattere"/>
    <w:basedOn w:val="DefaultParagraphFont"/>
    <w:uiPriority w:val="9"/>
    <w:semiHidden/>
    <w:qFormat/>
    <w:rsid w:val="00d2032c"/>
    <w:rPr>
      <w:rFonts w:ascii="Aptos Display" w:hAnsi="Aptos Display" w:eastAsia="" w:cs="" w:asciiTheme="majorHAnsi" w:cstheme="majorBidi" w:eastAsiaTheme="majorEastAsia" w:hAnsiTheme="majorHAnsi"/>
      <w:color w:val="0F4761" w:themeColor="accent1" w:themeShade="bf"/>
      <w:sz w:val="32"/>
      <w:szCs w:val="32"/>
    </w:rPr>
  </w:style>
  <w:style w:type="character" w:styleId="Titolo3Carattere" w:customStyle="1">
    <w:name w:val="Titolo 3 Carattere"/>
    <w:basedOn w:val="DefaultParagraphFont"/>
    <w:uiPriority w:val="9"/>
    <w:semiHidden/>
    <w:qFormat/>
    <w:rsid w:val="00d2032c"/>
    <w:rPr>
      <w:rFonts w:eastAsia="" w:cs="" w:cstheme="majorBidi" w:eastAsiaTheme="majorEastAsia"/>
      <w:color w:val="0F4761" w:themeColor="accent1" w:themeShade="bf"/>
      <w:sz w:val="28"/>
      <w:szCs w:val="28"/>
    </w:rPr>
  </w:style>
  <w:style w:type="character" w:styleId="Titolo4Carattere" w:customStyle="1">
    <w:name w:val="Titolo 4 Carattere"/>
    <w:basedOn w:val="DefaultParagraphFont"/>
    <w:uiPriority w:val="9"/>
    <w:semiHidden/>
    <w:qFormat/>
    <w:rsid w:val="00d2032c"/>
    <w:rPr>
      <w:rFonts w:eastAsia="" w:cs="" w:cstheme="majorBidi" w:eastAsiaTheme="majorEastAsia"/>
      <w:i/>
      <w:iCs/>
      <w:color w:val="0F4761" w:themeColor="accent1" w:themeShade="bf"/>
    </w:rPr>
  </w:style>
  <w:style w:type="character" w:styleId="Titolo5Carattere" w:customStyle="1">
    <w:name w:val="Titolo 5 Carattere"/>
    <w:basedOn w:val="DefaultParagraphFont"/>
    <w:uiPriority w:val="9"/>
    <w:semiHidden/>
    <w:qFormat/>
    <w:rsid w:val="00d2032c"/>
    <w:rPr>
      <w:rFonts w:eastAsia="" w:cs="" w:cstheme="majorBidi" w:eastAsiaTheme="majorEastAsia"/>
      <w:color w:val="0F4761" w:themeColor="accent1" w:themeShade="bf"/>
    </w:rPr>
  </w:style>
  <w:style w:type="character" w:styleId="Titolo6Carattere" w:customStyle="1">
    <w:name w:val="Titolo 6 Carattere"/>
    <w:basedOn w:val="DefaultParagraphFont"/>
    <w:uiPriority w:val="9"/>
    <w:semiHidden/>
    <w:qFormat/>
    <w:rsid w:val="00d2032c"/>
    <w:rPr>
      <w:rFonts w:eastAsia="" w:cs="" w:cstheme="majorBidi" w:eastAsiaTheme="majorEastAsia"/>
      <w:i/>
      <w:iCs/>
      <w:color w:val="595959" w:themeColor="text1" w:themeTint="a6"/>
    </w:rPr>
  </w:style>
  <w:style w:type="character" w:styleId="Titolo7Carattere" w:customStyle="1">
    <w:name w:val="Titolo 7 Carattere"/>
    <w:basedOn w:val="DefaultParagraphFont"/>
    <w:uiPriority w:val="9"/>
    <w:semiHidden/>
    <w:qFormat/>
    <w:rsid w:val="00d2032c"/>
    <w:rPr>
      <w:rFonts w:eastAsia="" w:cs="" w:cstheme="majorBidi" w:eastAsiaTheme="majorEastAsia"/>
      <w:color w:val="595959" w:themeColor="text1" w:themeTint="a6"/>
    </w:rPr>
  </w:style>
  <w:style w:type="character" w:styleId="Titolo8Carattere" w:customStyle="1">
    <w:name w:val="Titolo 8 Carattere"/>
    <w:basedOn w:val="DefaultParagraphFont"/>
    <w:uiPriority w:val="9"/>
    <w:semiHidden/>
    <w:qFormat/>
    <w:rsid w:val="00d2032c"/>
    <w:rPr>
      <w:rFonts w:eastAsia="" w:cs="" w:cstheme="majorBidi" w:eastAsiaTheme="majorEastAsia"/>
      <w:i/>
      <w:iCs/>
      <w:color w:val="272727" w:themeColor="text1" w:themeTint="d8"/>
    </w:rPr>
  </w:style>
  <w:style w:type="character" w:styleId="Titolo9Carattere" w:customStyle="1">
    <w:name w:val="Titolo 9 Carattere"/>
    <w:basedOn w:val="DefaultParagraphFont"/>
    <w:uiPriority w:val="9"/>
    <w:semiHidden/>
    <w:qFormat/>
    <w:rsid w:val="00d2032c"/>
    <w:rPr>
      <w:rFonts w:eastAsia="" w:cs="" w:cstheme="majorBidi" w:eastAsiaTheme="majorEastAsia"/>
      <w:color w:val="272727" w:themeColor="text1" w:themeTint="d8"/>
    </w:rPr>
  </w:style>
  <w:style w:type="character" w:styleId="TitoloCarattere" w:customStyle="1">
    <w:name w:val="Titolo Carattere"/>
    <w:basedOn w:val="DefaultParagraphFont"/>
    <w:uiPriority w:val="10"/>
    <w:qFormat/>
    <w:rsid w:val="00d2032c"/>
    <w:rPr>
      <w:rFonts w:ascii="Aptos Display" w:hAnsi="Aptos Display" w:eastAsia="" w:cs="" w:asciiTheme="majorHAnsi" w:cstheme="majorBidi" w:eastAsiaTheme="majorEastAsia" w:hAnsiTheme="majorHAnsi"/>
      <w:spacing w:val="-10"/>
      <w:kern w:val="2"/>
      <w:sz w:val="56"/>
      <w:szCs w:val="56"/>
    </w:rPr>
  </w:style>
  <w:style w:type="character" w:styleId="SottotitoloCarattere" w:customStyle="1">
    <w:name w:val="Sottotitolo Carattere"/>
    <w:basedOn w:val="DefaultParagraphFont"/>
    <w:uiPriority w:val="11"/>
    <w:qFormat/>
    <w:rsid w:val="00d2032c"/>
    <w:rPr>
      <w:rFonts w:eastAsia="" w:cs="" w:cstheme="majorBidi" w:eastAsiaTheme="majorEastAsia"/>
      <w:color w:val="595959" w:themeColor="text1" w:themeTint="a6"/>
      <w:spacing w:val="15"/>
      <w:sz w:val="28"/>
      <w:szCs w:val="28"/>
    </w:rPr>
  </w:style>
  <w:style w:type="character" w:styleId="CitazioneCarattere" w:customStyle="1">
    <w:name w:val="Citazione Carattere"/>
    <w:basedOn w:val="DefaultParagraphFont"/>
    <w:link w:val="Quote"/>
    <w:uiPriority w:val="29"/>
    <w:qFormat/>
    <w:rsid w:val="00d2032c"/>
    <w:rPr>
      <w:i/>
      <w:iCs/>
      <w:color w:val="404040" w:themeColor="text1" w:themeTint="bf"/>
    </w:rPr>
  </w:style>
  <w:style w:type="character" w:styleId="IntenseEmphasis">
    <w:name w:val="Intense Emphasis"/>
    <w:basedOn w:val="DefaultParagraphFont"/>
    <w:uiPriority w:val="21"/>
    <w:qFormat/>
    <w:rsid w:val="00d2032c"/>
    <w:rPr>
      <w:i/>
      <w:iCs/>
      <w:color w:val="0F4761" w:themeColor="accent1" w:themeShade="bf"/>
    </w:rPr>
  </w:style>
  <w:style w:type="character" w:styleId="CitazioneintensaCarattere" w:customStyle="1">
    <w:name w:val="Citazione intensa Carattere"/>
    <w:basedOn w:val="DefaultParagraphFont"/>
    <w:link w:val="IntenseQuote"/>
    <w:uiPriority w:val="30"/>
    <w:qFormat/>
    <w:rsid w:val="00d2032c"/>
    <w:rPr>
      <w:i/>
      <w:iCs/>
      <w:color w:val="0F4761" w:themeColor="accent1" w:themeShade="bf"/>
    </w:rPr>
  </w:style>
  <w:style w:type="character" w:styleId="IntenseReference">
    <w:name w:val="Intense Reference"/>
    <w:basedOn w:val="DefaultParagraphFont"/>
    <w:uiPriority w:val="32"/>
    <w:qFormat/>
    <w:rsid w:val="00d2032c"/>
    <w:rPr>
      <w:b/>
      <w:bCs/>
      <w:smallCaps/>
      <w:color w:val="0F4761" w:themeColor="accent1" w:themeShade="bf"/>
      <w:spacing w:val="5"/>
    </w:rPr>
  </w:style>
  <w:style w:type="character" w:styleId="Internetverknpfung">
    <w:name w:val="Hyperlink"/>
    <w:rPr>
      <w:color w:val="000080"/>
      <w:u w:val="single"/>
    </w:rPr>
  </w:style>
  <w:style w:type="paragraph" w:styleId="Berschrift">
    <w:name w:val="Überschrift"/>
    <w:basedOn w:val="Normal"/>
    <w:next w:val="Textkrper"/>
    <w:qFormat/>
    <w:pPr>
      <w:keepNext w:val="true"/>
      <w:spacing w:before="240" w:after="120"/>
    </w:pPr>
    <w:rPr>
      <w:rFonts w:ascii="Liberation Sans" w:hAnsi="Liberation Sans" w:eastAsia="Noto Sans CJK SC" w:cs="Lohit Devanagari"/>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ohit Devanagari"/>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rPr>
  </w:style>
  <w:style w:type="paragraph" w:styleId="Titel">
    <w:name w:val="Title"/>
    <w:basedOn w:val="Normal"/>
    <w:next w:val="Normal"/>
    <w:link w:val="TitoloCarattere"/>
    <w:uiPriority w:val="10"/>
    <w:qFormat/>
    <w:rsid w:val="00d2032c"/>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Untertitel">
    <w:name w:val="Subtitle"/>
    <w:basedOn w:val="Normal"/>
    <w:next w:val="Normal"/>
    <w:link w:val="SottotitoloCarattere"/>
    <w:uiPriority w:val="11"/>
    <w:qFormat/>
    <w:rsid w:val="00d2032c"/>
    <w:pPr/>
    <w:rPr>
      <w:rFonts w:eastAsia="" w:cs="" w:cstheme="majorBidi" w:eastAsiaTheme="majorEastAsia"/>
      <w:color w:val="595959" w:themeColor="text1" w:themeTint="a6"/>
      <w:spacing w:val="15"/>
      <w:sz w:val="28"/>
      <w:szCs w:val="28"/>
    </w:rPr>
  </w:style>
  <w:style w:type="paragraph" w:styleId="Quote">
    <w:name w:val="Quote"/>
    <w:basedOn w:val="Normal"/>
    <w:next w:val="Normal"/>
    <w:link w:val="CitazioneCarattere"/>
    <w:uiPriority w:val="29"/>
    <w:qFormat/>
    <w:rsid w:val="00d2032c"/>
    <w:pPr>
      <w:spacing w:before="160" w:after="160"/>
      <w:jc w:val="center"/>
    </w:pPr>
    <w:rPr>
      <w:i/>
      <w:iCs/>
      <w:color w:val="404040" w:themeColor="text1" w:themeTint="bf"/>
    </w:rPr>
  </w:style>
  <w:style w:type="paragraph" w:styleId="ListParagraph">
    <w:name w:val="List Paragraph"/>
    <w:basedOn w:val="Normal"/>
    <w:uiPriority w:val="34"/>
    <w:qFormat/>
    <w:rsid w:val="00d2032c"/>
    <w:pPr>
      <w:spacing w:before="0" w:after="160"/>
      <w:ind w:left="720" w:hanging="0"/>
      <w:contextualSpacing/>
    </w:pPr>
    <w:rPr/>
  </w:style>
  <w:style w:type="paragraph" w:styleId="IntenseQuote">
    <w:name w:val="Intense Quote"/>
    <w:basedOn w:val="Normal"/>
    <w:next w:val="Normal"/>
    <w:link w:val="CitazioneintensaCarattere"/>
    <w:uiPriority w:val="30"/>
    <w:qFormat/>
    <w:rsid w:val="00d2032c"/>
    <w:pPr>
      <w:pBdr>
        <w:top w:val="single" w:sz="4" w:space="10" w:color="0F4761"/>
        <w:bottom w:val="single" w:sz="4" w:space="10" w:color="0F4761"/>
      </w:pBdr>
      <w:spacing w:before="360" w:after="360"/>
      <w:ind w:left="864" w:right="864" w:hanging="0"/>
      <w:jc w:val="center"/>
    </w:pPr>
    <w:rPr>
      <w:i/>
      <w:iCs/>
      <w:color w:val="0F4761" w:themeColor="accent1" w:themeShade="bf"/>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aicferrara.it" TargetMode="External"/><Relationship Id="rId3" Type="http://schemas.openxmlformats.org/officeDocument/2006/relationships/hyperlink" Target="mailto:risparmiatoricarife@gmail.com"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662B6-3593-498F-BD00-66B28C503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Application>LibreOffice/7.4.7.2$Linux_X86_64 LibreOffice_project/40$Build-2</Application>
  <AppVersion>15.0000</AppVersion>
  <Pages>2</Pages>
  <Words>983</Words>
  <Characters>5776</Characters>
  <CharactersWithSpaces>6742</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2025-02-16T10:44:00Z</dcterms:created>
  <dc:creator>Roberto Ciammarughi</dc:creator>
  <dc:description/>
  <dc:language>de-DE</dc:language>
  <cp:lastModifiedBy/>
  <cp:lastPrinted>2025-02-17T10:23:00Z</cp:lastPrinted>
  <dcterms:modified xsi:type="dcterms:W3CDTF">2025-02-21T14:58:25Z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file>